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body>
    <w:p w14:paraId="56FC33DD" w14:textId="42ADCE59" w:rsidR="0072059E" w:rsidRDefault="00700B3F" w:rsidP="00AF2A24">
      <w:pPr>
        <w:pStyle w:val="Subhead"/>
        <w:rPr>
          <w:bCs/>
          <w:iCs w:val="0"/>
          <w:spacing w:val="-10"/>
          <w:kern w:val="28"/>
          <w:sz w:val="40"/>
          <w:szCs w:val="40"/>
        </w:rPr>
      </w:pPr>
      <w:r>
        <w:rPr>
          <w:lang w:val="it-IT"/>
          <w:rFonts w:ascii="Verdana" w:cs="majorBidi" w:eastAsia="majorEastAsia" w:hAnsi="Verdana" w:cstheme="majorBidi" w:eastAsiaTheme="majorEastAsia"/>
          <w:sz w:val="40"/>
          <w:kern w:val="28"/>
          <w:spacing w:val="-10"/>
        </w:rPr>
        <w:t xml:space="preserve">Kleemann │ Ai Caraibi ottima prova del treno di macchine PRO concatenate</w:t>
      </w:r>
    </w:p>
    <w:p w14:paraId="3DB067B3" w14:textId="15701C01" w:rsidR="0072059E" w:rsidRPr="00955892" w:rsidRDefault="0072059E" w:rsidP="00AF2A24">
      <w:pPr>
        <w:pStyle w:val="Teaser"/>
        <w:rPr>
          <w:rFonts w:eastAsiaTheme="majorEastAsia" w:cstheme="majorBidi"/>
          <w:iCs/>
          <w:szCs w:val="22"/>
        </w:rPr>
      </w:pPr>
      <w:r>
        <w:rPr>
          <w:lang w:val="it-IT"/>
          <w:rFonts w:ascii="Verdana" w:cs="majorBidi" w:eastAsia="majorEastAsia" w:hAnsi="Verdana" w:cstheme="majorBidi" w:eastAsiaTheme="majorEastAsia"/>
          <w:sz w:val="22"/>
        </w:rPr>
        <w:t xml:space="preserve">Per ottenere prodotti finali per la produzione di asfalto, nello stato insulare di Trinidad e Tobago viene utilizzato un treno di macchine PRO di Kleemann: il frantoio a mascelle MOBICAT MC 120 Z PRO e il frantoio a cono mobile MOBICONE MCO 11 PRO. L</w:t>
      </w:r>
      <w:r>
        <w:rPr>
          <w:lang w:val="it-IT"/>
          <w:rFonts w:ascii="Verdana" w:cs="majorBidi" w:eastAsia="majorEastAsia" w:hAnsi="Verdana" w:cstheme="majorBidi" w:eastAsiaTheme="majorEastAsia"/>
          <w:sz w:val="22"/>
        </w:rPr>
        <w:t xml:space="preserve">'impianto di vagliatura semovente MOBISCREEN MS 953 EVO completa il processo nella cava di calcare. </w:t>
      </w:r>
    </w:p>
    <w:p w14:paraId="7C0E932A" w14:textId="44C2A664" w:rsidR="0072059E" w:rsidRPr="00700B3F" w:rsidRDefault="0072059E" w:rsidP="0072059E">
      <w:pPr>
        <w:pStyle w:val="Standardabsatz"/>
        <w:rPr>
          <w:bCs/>
        </w:rPr>
      </w:pPr>
      <w:r>
        <w:rPr>
          <w:lang w:val="it-IT"/>
          <w:rFonts w:ascii="Verdana" w:cs="minorBidi" w:eastAsia="minorHAnsi" w:hAnsi="Verdana" w:cstheme="minorBidi" w:eastAsiaTheme="minorHAnsi"/>
          <w:sz w:val="22"/>
        </w:rPr>
        <w:t xml:space="preserve">I criteri decisivi per la scelta degli impianti sono stati l</w:t>
      </w:r>
      <w:r>
        <w:rPr>
          <w:lang w:val="it-IT"/>
          <w:rFonts w:ascii="Verdana" w:cs="minorBidi" w:eastAsia="minorHAnsi" w:hAnsi="Verdana" w:cstheme="minorBidi" w:eastAsiaTheme="minorHAnsi"/>
          <w:sz w:val="22"/>
        </w:rPr>
        <w:t xml:space="preserve">'ottima qualità del prodotto finale e la facilità di collegamento delle singole macchine per formare un treno. Nel treno di macchine PRO di Kleemann il lavoro è agevolato dalla semplicità di concatenamento delle macchine e dal processo automatico e coordinato dei singoli impianti.</w:t>
      </w:r>
    </w:p>
    <w:p w14:paraId="2AE21E23" w14:textId="4A53E01E" w:rsidR="00AF2A24" w:rsidRPr="00793E43" w:rsidRDefault="001C7AE5" w:rsidP="00717074">
      <w:pPr>
        <w:pStyle w:val="Absatzberschrift"/>
      </w:pPr>
      <w:r>
        <w:rPr>
          <w:lang w:val="it-IT"/>
          <w:rFonts w:ascii="Verdana" w:cs="minorBidi" w:eastAsia="minorHAnsi" w:hAnsi="Verdana" w:cstheme="minorBidi" w:eastAsiaTheme="minorHAnsi"/>
          <w:sz w:val="22"/>
        </w:rPr>
        <w:t xml:space="preserve">Disponibilità e rendimento raddoppiati grazie all</w:t>
      </w:r>
      <w:r>
        <w:rPr>
          <w:lang w:val="it-IT"/>
          <w:rFonts w:ascii="Verdana" w:cs="minorBidi" w:eastAsia="minorHAnsi" w:hAnsi="Verdana" w:cstheme="minorBidi" w:eastAsiaTheme="minorHAnsi"/>
          <w:sz w:val="22"/>
        </w:rPr>
        <w:t xml:space="preserve">'accoppiamento linee</w:t>
      </w:r>
    </w:p>
    <w:p w14:paraId="376915E4" w14:textId="7DFA3742" w:rsidR="00C146B1" w:rsidRDefault="0072059E" w:rsidP="00CF5C63">
      <w:pPr>
        <w:pStyle w:val="Absatzberschrift"/>
        <w:jc w:val="both"/>
        <w:rPr>
          <w:b w:val="0"/>
        </w:rPr>
      </w:pPr>
      <w:proofErr w:type="spellStart"/>
      <w:proofErr w:type="spellEnd"/>
      <w:r>
        <w:rPr>
          <w:lang w:val="it-IT"/>
          <w:rFonts w:ascii="Verdana" w:cs="minorBidi" w:eastAsia="minorHAnsi" w:hAnsi="Verdana" w:cstheme="minorBidi" w:eastAsiaTheme="minorHAnsi"/>
          <w:b w:val="off"/>
          <w:sz w:val="22"/>
        </w:rPr>
        <w:t xml:space="preserve">Il treno è composto da tre macchine, i cui processi sono combinati tra loro. La sintonizzazione automatizzata non solo facilita il lavoro degli operatori, ma armonizza e stabilizza anche il processo. Ogni macchina lavora sostanzialmente da sola, ma segnala alle macchine a monte e a valle eventuali guasti o sovraccarichi, dovuti a un eccesso di materiale in entrata. La regolazione dell’alimentazione Continuous Feed System (CFS) permette inoltre uno sfruttamento ottimale dei frantoi, che in questo modo vengono caricati uniformemente. Inoltre un collegamento di tutte le macchine è garanzia di sicurezza: se viene premuto un arresto di emergenza in un qualsiasi punto del treno, si arrestano immediatamente tutti gli impianti. Questa configurazione permette di evitare danni o situazioni di sovraccarico.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lang w:val="it-IT"/>
          <w:rFonts w:ascii="Verdana" w:cs="minorBidi" w:eastAsia="minorHAnsi" w:hAnsi="Verdana" w:cstheme="minorBidi" w:eastAsiaTheme="minorHAnsi"/>
          <w:b w:val="off"/>
          <w:sz w:val="22"/>
        </w:rPr>
        <w:t xml:space="preserve">Grazie all</w:t>
      </w:r>
      <w:r>
        <w:rPr>
          <w:lang w:val="it-IT"/>
          <w:rFonts w:ascii="Verdana" w:cs="minorBidi" w:eastAsia="minorHAnsi" w:hAnsi="Verdana" w:cstheme="minorBidi" w:eastAsiaTheme="minorHAnsi"/>
          <w:b w:val="off"/>
          <w:sz w:val="22"/>
        </w:rPr>
        <w:t xml:space="preserve">'accoppiamento delle linee, l</w:t>
      </w:r>
      <w:r>
        <w:rPr>
          <w:lang w:val="it-IT"/>
          <w:rFonts w:ascii="Verdana" w:cs="minorBidi" w:eastAsia="minorHAnsi" w:hAnsi="Verdana" w:cstheme="minorBidi" w:eastAsiaTheme="minorHAnsi"/>
          <w:b w:val="off"/>
          <w:sz w:val="22"/>
        </w:rPr>
        <w:t xml:space="preserve">'impresa esecutrice di Trinidad e Tobago ha potuto raddoppiare l</w:t>
      </w:r>
      <w:r>
        <w:rPr>
          <w:lang w:val="it-IT"/>
          <w:rFonts w:ascii="Verdana" w:cs="minorBidi" w:eastAsia="minorHAnsi" w:hAnsi="Verdana" w:cstheme="minorBidi" w:eastAsiaTheme="minorHAnsi"/>
          <w:b w:val="off"/>
          <w:sz w:val="22"/>
        </w:rPr>
        <w:t xml:space="preserve">'operatività e il rendimento rispetto agli impianti impiegati in precedenza nella cava.</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lang w:val="it-IT"/>
          <w:rFonts w:ascii="Verdana" w:cs="minorBidi" w:eastAsia="minorHAnsi" w:hAnsi="Verdana" w:cstheme="minorBidi" w:eastAsiaTheme="minorHAnsi"/>
          <w:b w:val="off"/>
          <w:sz w:val="22"/>
        </w:rPr>
        <w:t xml:space="preserve">Anche il personale viene impiegato con più efficienza. Normalmente è necessario un operatore per ciascun impianto, a cui va aggiunto l</w:t>
      </w:r>
      <w:r>
        <w:rPr>
          <w:lang w:val="it-IT"/>
          <w:rFonts w:ascii="Verdana" w:cs="minorBidi" w:eastAsia="minorHAnsi" w:hAnsi="Verdana" w:cstheme="minorBidi" w:eastAsiaTheme="minorHAnsi"/>
          <w:b w:val="off"/>
          <w:sz w:val="22"/>
        </w:rPr>
        <w:t xml:space="preserve">'autista dell</w:t>
      </w:r>
      <w:r>
        <w:rPr>
          <w:lang w:val="it-IT"/>
          <w:rFonts w:ascii="Verdana" w:cs="minorBidi" w:eastAsia="minorHAnsi" w:hAnsi="Verdana" w:cstheme="minorBidi" w:eastAsiaTheme="minorHAnsi"/>
          <w:b w:val="off"/>
          <w:sz w:val="22"/>
        </w:rPr>
        <w:t xml:space="preserve">'escavatore. Grazie all</w:t>
      </w:r>
      <w:r>
        <w:rPr>
          <w:lang w:val="it-IT"/>
          <w:rFonts w:ascii="Verdana" w:cs="minorBidi" w:eastAsia="minorHAnsi" w:hAnsi="Verdana" w:cstheme="minorBidi" w:eastAsiaTheme="minorHAnsi"/>
          <w:b w:val="off"/>
          <w:sz w:val="22"/>
        </w:rPr>
        <w:t xml:space="preserve">'accoppiamento delle linee, l</w:t>
      </w:r>
      <w:r>
        <w:rPr>
          <w:lang w:val="it-IT"/>
          <w:rFonts w:ascii="Verdana" w:cs="minorBidi" w:eastAsia="minorHAnsi" w:hAnsi="Verdana" w:cstheme="minorBidi" w:eastAsiaTheme="minorHAnsi"/>
          <w:b w:val="off"/>
          <w:sz w:val="22"/>
        </w:rPr>
        <w:t xml:space="preserve">'intero processo ora può essere gestito da due operatori, invece che quattro. Gli altri due operatori possono svolgere in parallelo altri compiti, come ad esempio predisporre il materiale od occuparsi della logistica nella cava.</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rPr>
          <w:lang w:val="it-IT"/>
          <w:rFonts w:ascii="Verdana" w:cs="minorBidi" w:eastAsia="minorHAnsi" w:hAnsi="Verdana" w:cstheme="minorBidi" w:eastAsiaTheme="minorHAnsi"/>
          <w:sz w:val="22"/>
        </w:rPr>
        <w:t xml:space="preserve">Comandi intuitivi in condizioni particolari</w:t>
      </w:r>
    </w:p>
    <w:p w14:paraId="69337360" w14:textId="7D8F1DF2" w:rsidR="0072059E" w:rsidRDefault="0072059E" w:rsidP="00CF5C63">
      <w:pPr>
        <w:pStyle w:val="Standardabsatz"/>
      </w:pPr>
      <w:r>
        <w:rPr>
          <w:lang w:val="it-IT"/>
          <w:rFonts w:ascii="Verdana" w:cs="minorBidi" w:eastAsia="minorHAnsi" w:hAnsi="Verdana" w:cstheme="minorBidi" w:eastAsiaTheme="minorHAnsi"/>
          <w:sz w:val="22"/>
        </w:rPr>
        <w:t xml:space="preserve">Dopo la consegna dei nuovi impianti nel settembre 2020, a causa della pandemia mondiale di Covid 19 il progetto ha dovuto far fronte a condizioni particolari: la messa in funzione del treno di macchine doveva svolgersi online, senza l</w:t>
      </w:r>
      <w:r>
        <w:rPr>
          <w:lang w:val="it-IT"/>
          <w:rFonts w:ascii="Verdana" w:cs="minorBidi" w:eastAsia="minorHAnsi" w:hAnsi="Verdana" w:cstheme="minorBidi" w:eastAsiaTheme="minorHAnsi"/>
          <w:sz w:val="22"/>
        </w:rPr>
        <w:t xml:space="preserve">'assistenza in loco. Nonostante le avversità, la messa in funzione è riuscita perfettamente, come dimostra l</w:t>
      </w:r>
      <w:r>
        <w:rPr>
          <w:lang w:val="it-IT"/>
          <w:rFonts w:ascii="Verdana" w:cs="minorBidi" w:eastAsia="minorHAnsi" w:hAnsi="Verdana" w:cstheme="minorBidi" w:eastAsiaTheme="minorHAnsi"/>
          <w:sz w:val="22"/>
        </w:rPr>
        <w:t xml:space="preserve">'anno trascorso: non ci sono stati problemi significativi e le macchine e gli utensili di frantumazione non presentano quasi tracce di usura. La lunga durata utile dei componenti dipende, da un lato, dal materiale poco abrasivo, dall</w:t>
      </w:r>
      <w:r>
        <w:rPr>
          <w:lang w:val="it-IT"/>
          <w:rFonts w:ascii="Verdana" w:cs="minorBidi" w:eastAsia="minorHAnsi" w:hAnsi="Verdana" w:cstheme="minorBidi" w:eastAsiaTheme="minorHAnsi"/>
          <w:sz w:val="22"/>
        </w:rPr>
        <w:t xml:space="preserve">'altro da un processo ben regolato e quindi da un flusso di materiale ottimale. </w:t>
      </w:r>
    </w:p>
    <w:p w14:paraId="44FF278B" w14:textId="6FAD5F71" w:rsidR="00AF2A24" w:rsidRPr="00827719" w:rsidRDefault="0072059E" w:rsidP="00CF5C63">
      <w:pPr>
        <w:pStyle w:val="Standardabsatz"/>
      </w:pPr>
      <w:r>
        <w:rPr>
          <w:lang w:val="it-IT"/>
          <w:rFonts w:ascii="Verdana" w:cs="minorBidi" w:eastAsia="minorHAnsi" w:hAnsi="Verdana" w:cstheme="minorBidi" w:eastAsiaTheme="minorHAnsi"/>
          <w:sz w:val="22"/>
        </w:rPr>
        <w:t xml:space="preserve">Anche il sistema di comando SPECTIVE, semplice e intuitivo, ha contribuito ad aumentare la produttività. La visualizzazione grafica e la guida utente chiara eliminano praticamente qualsiasi possibilità di errore. La semplicità dei comandi permette di addestrare in SPECTIVE più operatori contemporaneamente. Ciò significa essere da subito più flessibili nel lavoro con l</w:t>
      </w:r>
      <w:r>
        <w:rPr>
          <w:lang w:val="it-IT"/>
          <w:rFonts w:ascii="Verdana" w:cs="minorBidi" w:eastAsia="minorHAnsi" w:hAnsi="Verdana" w:cstheme="minorBidi" w:eastAsiaTheme="minorHAnsi"/>
          <w:sz w:val="22"/>
        </w:rPr>
        <w:t xml:space="preserve">'impianto. </w:t>
      </w:r>
    </w:p>
    <w:p w14:paraId="639D0707" w14:textId="6D37A28E" w:rsidR="0072059E" w:rsidRPr="0072059E" w:rsidRDefault="0072059E" w:rsidP="00717074">
      <w:pPr>
        <w:pStyle w:val="Absatzberschrift"/>
      </w:pPr>
      <w:r>
        <w:rPr>
          <w:lang w:val="it-IT"/>
          <w:rFonts w:ascii="Verdana" w:cs="minorBidi" w:eastAsia="minorHAnsi" w:hAnsi="Verdana" w:cstheme="minorBidi" w:eastAsiaTheme="minorHAnsi"/>
          <w:sz w:val="22"/>
        </w:rPr>
        <w:t xml:space="preserve">Cura e manutenzioni semplici</w:t>
      </w:r>
    </w:p>
    <w:p w14:paraId="7522F20C" w14:textId="037FD104" w:rsidR="00936642" w:rsidRDefault="0072059E" w:rsidP="00CF5C63">
      <w:pPr>
        <w:pStyle w:val="Absatzberschrift"/>
        <w:jc w:val="both"/>
        <w:rPr>
          <w:b w:val="0"/>
        </w:rPr>
      </w:pPr>
      <w:proofErr w:type="spellStart"/>
      <w:proofErr w:type="spellEnd"/>
      <w:r>
        <w:rPr>
          <w:lang w:val="it-IT"/>
          <w:rFonts w:ascii="Verdana" w:cs="minorBidi" w:eastAsia="minorHAnsi" w:hAnsi="Verdana" w:cstheme="minorBidi" w:eastAsiaTheme="minorHAnsi"/>
          <w:b w:val="off"/>
          <w:sz w:val="22"/>
        </w:rPr>
        <w:t xml:space="preserve">Per la manutenzione un indubbio vantaggio è che i componenti degli impianti di frantumazione e vagliatura si raggiungono facilmente. Tutti i punti necessari sono accessibili senza problemi e senza lavori di smontaggio significativi. La manutenzione regolare del treno di macchine è quindi semplificata. Anche la semplicità con cui si procede alla sostituzione dei rivestimenti dell</w:t>
      </w:r>
      <w:r>
        <w:rPr>
          <w:lang w:val="it-IT"/>
          <w:rFonts w:ascii="Verdana" w:cs="minorBidi" w:eastAsia="minorHAnsi" w:hAnsi="Verdana" w:cstheme="minorBidi" w:eastAsiaTheme="minorHAnsi"/>
          <w:b w:val="off"/>
          <w:sz w:val="22"/>
        </w:rPr>
        <w:t xml:space="preserve">'Impianto di vagliatura MOBISCREEN MS 953 EVO contribuisce a un funzionamento senza problemi. </w:t>
      </w:r>
      <w:r>
        <w:rPr>
          <w:lang w:val="it-IT"/>
          <w:rFonts w:ascii="Verdana" w:cs="minorBidi" w:eastAsia="minorHAnsi" w:hAnsi="Verdana" w:cstheme="minorBidi" w:eastAsiaTheme="minorHAnsi"/>
          <w:b w:val="off"/>
          <w:sz w:val="22"/>
        </w:rPr>
        <w:t xml:space="preserve">"Apprezziamo in particolare la disponibilità a trovare soluzioni praticabili. Abbiamo sperimentato quest</w:t>
      </w:r>
      <w:r>
        <w:rPr>
          <w:lang w:val="it-IT"/>
          <w:rFonts w:ascii="Verdana" w:cs="minorBidi" w:eastAsia="minorHAnsi" w:hAnsi="Verdana" w:cstheme="minorBidi" w:eastAsiaTheme="minorHAnsi"/>
          <w:b w:val="off"/>
          <w:sz w:val="22"/>
        </w:rPr>
        <w:t xml:space="preserve">'ottimo livello di cooperazione anche con altri marchi del Wirtgen Group</w:t>
      </w:r>
      <w:r>
        <w:rPr>
          <w:lang w:val="it-IT"/>
          <w:rFonts w:ascii="Verdana" w:cs="minorBidi" w:eastAsia="minorHAnsi" w:hAnsi="Verdana" w:cstheme="minorBidi" w:eastAsiaTheme="minorHAnsi"/>
          <w:b w:val="off"/>
          <w:sz w:val="22"/>
        </w:rPr>
        <w:t xml:space="preserve">", ha dichiarato Kyle Parsons, Project manager responsabile della Jusamco Ltd. A ciò si aggiunge la certezza di poter contare sui nostri referenti in loco per un</w:t>
      </w:r>
      <w:r>
        <w:rPr>
          <w:lang w:val="it-IT"/>
          <w:rFonts w:ascii="Verdana" w:cs="minorBidi" w:eastAsia="minorHAnsi" w:hAnsi="Verdana" w:cstheme="minorBidi" w:eastAsiaTheme="minorHAnsi"/>
          <w:b w:val="off"/>
          <w:sz w:val="22"/>
        </w:rPr>
        <w:t xml:space="preserve">'eccellente assistenza tecnica e la fornitura dei ricambi. </w:t>
      </w:r>
    </w:p>
    <w:p w14:paraId="07DF7ACE" w14:textId="2376D554" w:rsidR="00936642" w:rsidRDefault="00936642" w:rsidP="00CF5C63">
      <w:pPr>
        <w:pStyle w:val="Standardabsatz"/>
      </w:pPr>
    </w:p>
    <w:p w14:paraId="20E2BC9A" w14:textId="77777777" w:rsidR="00936642" w:rsidRPr="00936642" w:rsidRDefault="00936642" w:rsidP="00936642">
      <w:pPr>
        <w:pStyle w:val="Standardabsatz"/>
      </w:pPr>
    </w:p>
    <w:p w14:paraId="585940EA" w14:textId="77777777" w:rsidR="00936642" w:rsidRDefault="0072059E" w:rsidP="00936642">
      <w:pPr>
        <w:pStyle w:val="Standardabsatz"/>
        <w:jc w:val="left"/>
      </w:pPr>
      <w:r>
        <w:rPr>
          <w:lang w:val="it-IT"/>
          <w:rFonts w:ascii="Verdana" w:cs="minorBidi" w:eastAsia="minorHAnsi" w:hAnsi="Verdana" w:cstheme="minorBidi" w:eastAsiaTheme="minorHAnsi"/>
          <w:b w:val="on"/>
          <w:sz w:val="22"/>
        </w:rPr>
        <w:t xml:space="preserve">Informazioni</w:t>
      </w:r>
      <w:r>
        <w:rPr>
          <w:lang w:val="it-IT"/>
          <w:rFonts w:ascii="Verdana" w:cs="minorBidi" w:eastAsia="minorHAnsi" w:hAnsi="Verdana" w:cstheme="minorBidi" w:eastAsiaTheme="minorHAnsi"/>
          <w:sz w:val="22"/>
        </w:rPr>
        <w:t xml:space="preserve">:</w:t>
      </w:r>
    </w:p>
    <w:p w14:paraId="1E71EB85" w14:textId="490B5672" w:rsidR="007B0E60" w:rsidRDefault="0072059E" w:rsidP="00BD5607">
      <w:pPr>
        <w:pStyle w:val="Standardabsatz"/>
        <w:jc w:val="left"/>
      </w:pPr>
      <w:r>
        <w:rPr>
          <w:lang w:val="it-IT"/>
          <w:rFonts w:ascii="Verdana" w:cs="minorBidi" w:eastAsia="minorHAnsi" w:hAnsi="Verdana" w:cstheme="minorBidi" w:eastAsiaTheme="minorHAnsi"/>
          <w:sz w:val="22"/>
        </w:rPr>
        <w:t xml:space="preserve">Materiale in entrata: pietra calcarea brillata</w:t>
      </w:r>
      <w:r>
        <w:rPr>
          <w:lang w:val="it-IT"/>
          <w:rFonts w:ascii="Verdana" w:cs="minorBidi" w:eastAsia="minorHAnsi" w:hAnsi="Verdana" w:cstheme="minorBidi" w:eastAsiaTheme="minorHAnsi"/>
          <w:sz w:val="22"/>
        </w:rPr>
        <w:br w:type="textWrapping"/>
      </w:r>
      <w:r>
        <w:rPr>
          <w:lang w:val="it-IT"/>
          <w:rFonts w:ascii="Verdana" w:cs="minorBidi" w:eastAsia="minorHAnsi" w:hAnsi="Verdana" w:cstheme="minorBidi" w:eastAsiaTheme="minorHAnsi"/>
          <w:sz w:val="22"/>
        </w:rPr>
        <w:t xml:space="preserve">Dimensioni materiale in entrata: 0 – 400 mm</w:t>
      </w:r>
      <w:r>
        <w:rPr>
          <w:lang w:val="it-IT"/>
          <w:rFonts w:ascii="Verdana" w:cs="minorBidi" w:eastAsia="minorHAnsi" w:hAnsi="Verdana" w:cstheme="minorBidi" w:eastAsiaTheme="minorHAnsi"/>
          <w:sz w:val="22"/>
        </w:rPr>
        <w:br w:type="textWrapping"/>
      </w:r>
      <w:r>
        <w:rPr>
          <w:lang w:val="it-IT"/>
          <w:rFonts w:ascii="Verdana" w:cs="minorBidi" w:eastAsia="minorHAnsi" w:hAnsi="Verdana" w:cstheme="minorBidi" w:eastAsiaTheme="minorHAnsi"/>
          <w:sz w:val="22"/>
        </w:rPr>
        <w:t xml:space="preserve">Prodotto finale: 0 – 7 mm | 7 – 16 mm | 16 – 19 mm</w:t>
      </w:r>
      <w:r>
        <w:rPr>
          <w:lang w:val="it-IT"/>
          <w:rFonts w:ascii="Verdana" w:cs="minorBidi" w:eastAsia="minorHAnsi" w:hAnsi="Verdana" w:cstheme="minorBidi" w:eastAsiaTheme="minorHAnsi"/>
          <w:sz w:val="22"/>
        </w:rPr>
        <w:br w:type="textWrapping"/>
      </w:r>
      <w:r>
        <w:rPr>
          <w:lang w:val="it-IT"/>
          <w:rFonts w:ascii="Verdana" w:cs="minorBidi" w:eastAsia="minorHAnsi" w:hAnsi="Verdana" w:cstheme="minorBidi" w:eastAsiaTheme="minorHAnsi"/>
          <w:sz w:val="22"/>
        </w:rPr>
        <w:t xml:space="preserve">Impiego: aggregati per la produzione di asfalto</w:t>
      </w:r>
      <w:r>
        <w:rPr>
          <w:lang w:val="it-IT"/>
          <w:rFonts w:ascii="Verdana" w:cs="minorBidi" w:eastAsia="minorHAnsi" w:hAnsi="Verdana" w:cstheme="minorBidi" w:eastAsiaTheme="minorHAnsi"/>
          <w:sz w:val="22"/>
        </w:rPr>
        <w:br w:type="textWrapping"/>
      </w:r>
    </w:p>
    <w:p w14:paraId="530035F2" w14:textId="77777777" w:rsidR="00BD5607" w:rsidRDefault="00BD5607" w:rsidP="00BD5607">
      <w:pPr>
        <w:pStyle w:val="Standardabsatz"/>
        <w:jc w:val="left"/>
      </w:pPr>
    </w:p>
    <w:p w14:paraId="64ABBB85" w14:textId="024AAF51" w:rsidR="007C2FEE" w:rsidRPr="00AF2A24" w:rsidRDefault="007C2FEE" w:rsidP="00BC487A">
      <w:pPr>
        <w:rPr>
          <w:b/>
          <w:bCs/>
          <w:sz w:val="22"/>
          <w:szCs w:val="22"/>
        </w:rPr>
      </w:pPr>
      <w:r>
        <w:rPr>
          <w:lang w:val="it-IT"/>
          <w:rFonts w:ascii="Verdana" w:cs="Times New Roman" w:eastAsia="Verdana" w:hAnsi="Verdana"/>
          <w:b w:val="on"/>
          <w:sz w:val="22"/>
        </w:rPr>
        <w:t xml:space="preserve">Foto:</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Pr>
          <w:lang w:val="it-IT"/>
          <w:rFonts w:ascii="Verdana" w:cs="minorBidi" w:eastAsia="minorHAnsi" w:hAnsi="Verdana" w:cstheme="minorBidi" w:eastAsiaTheme="minorHAnsi"/>
          <w:sz w:val="20"/>
          <w:noProof w:val="on"/>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proofErr w:type="spellStart"/>
      <w:proofErr w:type="spellEnd"/>
      <w:r>
        <w:rPr>
          <w:lang w:val="it-IT"/>
          <w:rFonts w:ascii="Verdana" w:cs="minorBidi" w:eastAsia="minorHAnsi" w:hAnsi="Verdana" w:cstheme="minorBidi" w:eastAsiaTheme="minorHAnsi"/>
          <w:sz w:val="20"/>
        </w:rPr>
        <w:t xml:space="preserve">KL_Jusamco_Trinidad </w:t>
      </w:r>
    </w:p>
    <w:p w14:paraId="10AF8B22" w14:textId="0AB8C5A9" w:rsidR="000D357E" w:rsidRPr="00F724D5" w:rsidRDefault="0072059E" w:rsidP="00FF5F5E">
      <w:pPr>
        <w:pStyle w:val="BUnormal"/>
      </w:pPr>
      <w:proofErr w:type="spellStart"/>
      <w:proofErr w:type="spellEnd"/>
      <w:r>
        <w:rPr>
          <w:lang w:val="it-IT"/>
          <w:rFonts w:ascii="Verdana" w:cs="minorBidi" w:eastAsia="minorHAnsi" w:hAnsi="Verdana" w:cstheme="minorBidi" w:eastAsiaTheme="minorHAnsi"/>
          <w:color w:val="auto"/>
          <w:sz w:val="20"/>
        </w:rPr>
        <w:t xml:space="preserve">Il treno di macchine di Jusamco a Trinidad: il frantoio a mascelle 
MOBICAT MC 120 Z PRO
e il frantoio a cono 
MOBICONE MCO 11 PRO
sono il cuore dell</w:t>
      </w:r>
      <w:r>
        <w:rPr>
          <w:lang w:val="it-IT"/>
          <w:rFonts w:ascii="Verdana" w:cs="minorBidi" w:eastAsia="minorHAnsi" w:hAnsi="Verdana" w:cstheme="minorBidi" w:eastAsiaTheme="minorHAnsi"/>
          <w:color w:val="auto"/>
          <w:sz w:val="20"/>
        </w:rPr>
        <w:t xml:space="preserve">'impianto. L</w:t>
      </w:r>
      <w:r>
        <w:rPr>
          <w:lang w:val="it-IT"/>
          <w:rFonts w:ascii="Verdana" w:cs="minorBidi" w:eastAsia="minorHAnsi" w:hAnsi="Verdana" w:cstheme="minorBidi" w:eastAsiaTheme="minorHAnsi"/>
          <w:color w:val="auto"/>
          <w:sz w:val="20"/>
        </w:rPr>
        <w:t xml:space="preserve">'impianto di vagliatura MOBISCREEN MS 953 EVO completa l</w:t>
      </w:r>
      <w:r>
        <w:rPr>
          <w:lang w:val="it-IT"/>
          <w:rFonts w:ascii="Verdana" w:cs="minorBidi" w:eastAsia="minorHAnsi" w:hAnsi="Verdana" w:cstheme="minorBidi" w:eastAsiaTheme="minorHAnsi"/>
          <w:color w:val="auto"/>
          <w:sz w:val="20"/>
        </w:rPr>
        <w:t xml:space="preserve">'intero processo</w:t>
      </w:r>
    </w:p>
    <w:p w14:paraId="6D829B46" w14:textId="0F997D08" w:rsidR="00F724D5" w:rsidRPr="007B0E60" w:rsidRDefault="00955892" w:rsidP="00F724D5">
      <w:pPr>
        <w:pStyle w:val="BUbold"/>
      </w:pPr>
      <w:r>
        <w:rPr>
          <w:lang w:val="it-IT"/>
          <w:rFonts w:ascii="Verdana" w:cs="minorBidi" w:eastAsia="minorHAnsi" w:hAnsi="Verdana" w:cstheme="minorBidi" w:eastAsiaTheme="minorHAnsi"/>
          <w:sz w:val="20"/>
          <w:noProof w:val="on"/>
        </w:rPr>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rPr>
          <w:lang w:val="it-IT"/>
          <w:rFonts w:ascii="Verdana" w:cs="minorBidi" w:eastAsia="minorHAnsi" w:hAnsi="Verdana" w:cstheme="minorBidi" w:eastAsiaTheme="minorHAnsi"/>
          <w:sz w:val="20"/>
        </w:rPr>
        <w:t xml:space="preserve">KL_Jusamco_Trinidad_1</w:t>
      </w:r>
      <w:r>
        <w:rPr>
          <w:lang w:val="it-IT"/>
          <w:rFonts w:ascii="Verdana" w:cs="minorBidi" w:eastAsia="minorHAnsi" w:hAnsi="Verdana" w:cstheme="minorBidi" w:eastAsiaTheme="minorHAnsi"/>
          <w:sz w:val="20"/>
        </w:rPr>
        <w:br w:type="textWrapping"/>
      </w:r>
      <w:r>
        <w:rPr>
          <w:lang w:val="it-IT"/>
          <w:rFonts w:ascii="Verdana" w:cs="minorBidi" w:eastAsia="minorHAnsi" w:hAnsi="Verdana" w:cstheme="minorBidi" w:eastAsiaTheme="minorHAnsi"/>
          <w:b w:val="off"/>
          <w:sz w:val="20"/>
        </w:rPr>
        <w:t xml:space="preserve">Il treno di macchine PRO concatenate di Kleemann convince con la pietra calcarea.</w:t>
      </w:r>
    </w:p>
    <w:p w14:paraId="67E83AFA" w14:textId="78DCACE4" w:rsidR="00980313" w:rsidRDefault="00714D6B" w:rsidP="00A96B2E">
      <w:pPr>
        <w:pStyle w:val="Note"/>
        <w:rPr>
          <w:lang w:eastAsia="de-DE" w:val="it-IT"/>
        </w:rPr>
      </w:pPr>
      <w:r>
        <w:rPr>
          <w:lang w:val="it-IT"/>
          <w:rFonts w:ascii="Verdana" w:cs="minorBidi" w:eastAsia="minorHAnsi" w:hAnsi="Verdana" w:cstheme="minorBidi" w:eastAsiaTheme="minorHAnsi"/>
          <w:color w:val="000000"/>
          <w:sz w:val="20"/>
        </w:rPr>
        <w:t xml:space="preserve">Nota: Queste foto sono un</w:t>
      </w:r>
      <w:r>
        <w:rPr>
          <w:lang w:val="it-IT"/>
          <w:rFonts w:ascii="Verdana" w:cs="minorBidi" w:eastAsia="minorHAnsi" w:hAnsi="Verdana" w:cstheme="minorBidi" w:eastAsiaTheme="minorHAnsi"/>
          <w:color w:val="000000"/>
          <w:sz w:val="20"/>
        </w:rPr>
        <w:t xml:space="preserve">'anteprima. Per la stampa nelle pubblicazioni, si prega di utilizzare le foto in risoluzione 300 dpi, che sono disponibili nel download allegato.</w:t>
      </w:r>
    </w:p>
    <w:p w14:paraId="783336FE" w14:textId="77777777" w:rsidR="00F724D5" w:rsidRPr="00F724D5" w:rsidRDefault="00F724D5" w:rsidP="00F724D5">
      <w:pPr>
        <w:pStyle w:val="Standardabsatz"/>
        <w:rPr>
          <w:lang w:eastAsia="de-DE" w:val="it-IT"/>
        </w:rPr>
      </w:pPr>
    </w:p>
    <w:p w14:paraId="717825D0" w14:textId="4B1B0DAB" w:rsidR="00B409DF" w:rsidRDefault="00B409DF" w:rsidP="00B409DF">
      <w:pPr>
        <w:pStyle w:val="Absatzberschrift"/>
        <w:rPr>
          <w:iCs/>
        </w:rPr>
      </w:pPr>
      <w:r>
        <w:rPr>
          <w:lang w:val="it-IT"/>
          <w:rFonts w:ascii="Verdana" w:cs="minorBidi" w:eastAsia="minorHAnsi" w:hAnsi="Verdana" w:cstheme="minorBidi" w:eastAsiaTheme="minorHAnsi"/>
          <w:sz w:val="22"/>
        </w:rPr>
        <w:t xml:space="preserve">Per maggiori informazioni contattare:</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lang w:val="it-IT"/>
          <w:rFonts w:ascii="Verdana" w:cs="minorBidi" w:eastAsia="minorHAnsi" w:hAnsi="Verdana" w:cstheme="minorBidi" w:eastAsiaTheme="minorHAnsi"/>
          <w:b w:val="off"/>
          <w:sz w:val="22"/>
        </w:rPr>
        <w:t xml:space="preserve">WIRTGEN GROUP</w:t>
      </w:r>
    </w:p>
    <w:p w14:paraId="392C6846" w14:textId="77777777" w:rsidR="00B409DF" w:rsidRDefault="00B409DF" w:rsidP="00B409DF">
      <w:pPr>
        <w:pStyle w:val="Fuzeile1"/>
      </w:pPr>
      <w:r>
        <w:rPr>
          <w:lang w:val="it-IT"/>
          <w:rFonts w:ascii="Verdana" w:cs="minorBidi" w:eastAsia="minorHAnsi" w:hAnsi="Verdana" w:cstheme="minorBidi" w:eastAsiaTheme="minorHAnsi"/>
          <w:sz w:val="22"/>
        </w:rPr>
        <w:t xml:space="preserve">Public Relations</w:t>
      </w:r>
    </w:p>
    <w:p w14:paraId="77A90FFB" w14:textId="77777777" w:rsidR="00B409DF" w:rsidRDefault="00B409DF" w:rsidP="00B409DF">
      <w:pPr>
        <w:pStyle w:val="Fuzeile1"/>
      </w:pPr>
      <w:r>
        <w:rPr>
          <w:lang w:val="it-IT"/>
          <w:rFonts w:ascii="Verdana" w:cs="minorBidi" w:eastAsia="minorHAnsi" w:hAnsi="Verdana" w:cstheme="minorBidi" w:eastAsiaTheme="minorHAnsi"/>
          <w:sz w:val="22"/>
        </w:rPr>
        <w:t xml:space="preserve">Reinhard-Wirtgen-Straße 2</w:t>
      </w:r>
    </w:p>
    <w:p w14:paraId="2BD7061F" w14:textId="77777777" w:rsidR="00B409DF" w:rsidRDefault="00B409DF" w:rsidP="00B409DF">
      <w:pPr>
        <w:pStyle w:val="Fuzeile1"/>
      </w:pPr>
      <w:r>
        <w:rPr>
          <w:lang w:val="it-IT"/>
          <w:rFonts w:ascii="Verdana" w:cs="minorBidi" w:eastAsia="minorHAnsi" w:hAnsi="Verdana" w:cstheme="minorBidi" w:eastAsiaTheme="minorHAnsi"/>
          <w:sz w:val="22"/>
        </w:rPr>
        <w:t xml:space="preserve">53578 Windhagen</w:t>
      </w:r>
    </w:p>
    <w:p w14:paraId="7312A980" w14:textId="77777777" w:rsidR="00B409DF" w:rsidRDefault="00B409DF" w:rsidP="00B409DF">
      <w:pPr>
        <w:pStyle w:val="Fuzeile1"/>
      </w:pPr>
      <w:r>
        <w:rPr>
          <w:lang w:val="it-IT"/>
          <w:rFonts w:ascii="Verdana" w:cs="minorBidi" w:eastAsia="minorHAnsi" w:hAnsi="Verdana" w:cstheme="minorBidi" w:eastAsiaTheme="minorHAnsi"/>
          <w:sz w:val="22"/>
        </w:rPr>
        <w:t xml:space="preserve">Germania</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rPr>
          <w:lang w:val="it-IT"/>
          <w:rFonts w:ascii="Verdana" w:cs="minorBidi" w:eastAsia="minorHAnsi" w:hAnsi="Verdana" w:cstheme="minorBidi" w:eastAsiaTheme="minorHAnsi"/>
          <w:sz w:val="22"/>
        </w:rPr>
        <w:t xml:space="preserve">Telefono: +49 (0) 2645 131 – 1966 </w:t>
      </w:r>
    </w:p>
    <w:p w14:paraId="72EBA31D" w14:textId="77777777" w:rsidR="00B409DF" w:rsidRDefault="00B409DF" w:rsidP="00B409DF">
      <w:pPr>
        <w:pStyle w:val="Fuzeile1"/>
      </w:pPr>
      <w:r>
        <w:rPr>
          <w:lang w:val="it-IT"/>
          <w:rFonts w:ascii="Verdana" w:cs="minorBidi" w:eastAsia="minorHAnsi" w:hAnsi="Verdana" w:cstheme="minorBidi" w:eastAsiaTheme="minorHAnsi"/>
          <w:sz w:val="22"/>
        </w:rPr>
        <w:t xml:space="preserve">Telefax: +49 (0) 2645 131 – 499</w:t>
      </w:r>
    </w:p>
    <w:p w14:paraId="54DD8925" w14:textId="4CADBFA8" w:rsidR="00B409DF" w:rsidRDefault="00B409DF" w:rsidP="00B409DF">
      <w:pPr>
        <w:pStyle w:val="Fuzeile1"/>
      </w:pPr>
      <w:r>
        <w:rPr>
          <w:lang w:val="it-IT"/>
          <w:rFonts w:ascii="Verdana" w:cs="minorBidi" w:eastAsia="minorHAnsi" w:hAnsi="Verdana" w:cstheme="minorBidi" w:eastAsiaTheme="minorHAnsi"/>
          <w:sz w:val="22"/>
        </w:rPr>
        <w:t xml:space="preserve">E-mail: PR@wirtgen-group.com</w:t>
      </w:r>
      <w:r>
        <w:rPr>
          <w:lang w:val="it-IT"/>
          <w:rFonts w:ascii="Verdana" w:cs="minorBidi" w:eastAsia="minorHAnsi" w:hAnsi="Verdana" w:cstheme="minorBidi" w:eastAsiaTheme="minorHAnsi"/>
          <w:vanish w:val="on"/>
          <w:sz w:val="22"/>
        </w:rPr>
        <w:t xml:space="preserve">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it-IT"/>
        </w:rPr>
      </w:pPr>
      <w:r>
        <w:rPr>
          <w:lang w:val="it-IT"/>
          <w:rFonts w:ascii="Verdana" w:cs="minorBidi" w:eastAsia="minorHAnsi" w:hAnsi="Verdana" w:cstheme="minorBidi" w:eastAsiaTheme="minorHAnsi"/>
          <w:sz w:val="22"/>
        </w:rPr>
        <w:t xml:space="preserve">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lang w:val="it-IT"/>
              <w:rFonts w:ascii="Verdana" w:cs="Times New Roman" w:eastAsia="Verdana" w:hAnsi="Verdana"/>
              <w:rStyle w:val="MittleresRaster11"/>
              <w:color w:val="808080"/>
              <w:sz w:val="14"/>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lang w:val="it-IT"/>
        <w:rFonts w:ascii="Verdana" w:cs="Times New Roman" w:eastAsia="Verdana" w:hAnsi="Verdana"/>
        <w:color w:val="41535D"/>
        <w:sz w:val="18"/>
        <w:noProof w:val="on"/>
      </w:rPr>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lang w:val="it-IT"/>
              <w:rFonts w:ascii="Verdana" w:cs="Times New Roman" w:eastAsia="Verdana" w:hAnsi="Verdana"/>
              <w:rStyle w:val="Hervorhebung"/>
              <w:b w:val="on"/>
              <w:i w:val="off"/>
              <w:color w:val="41535D"/>
              <w:sz w:val="18"/>
            </w:rPr>
            <w:t xml:space="preserve">WIRTGEN GmbH</w:t>
          </w:r>
          <w:r>
            <w:rPr>
              <w:lang w:val="it-IT"/>
              <w:rFonts w:ascii="Verdana" w:cs="Times New Roman" w:eastAsia="Verdana" w:hAnsi="Verdana"/>
              <w:color w:val="41535D"/>
              <w:sz w:val="18"/>
            </w:rPr>
            <w:t xml:space="preserve"> · Reinhard-Wirtgen-Str. 2 · D-53578 Windhagen · T: +49 26 45 / 131 0</w:t>
          </w:r>
        </w:p>
      </w:tc>
    </w:tr>
  </w:tbl>
  <w:p w14:paraId="732BEB33" w14:textId="77777777" w:rsidR="00533132" w:rsidRDefault="00BD5391">
    <w:pPr>
      <w:pStyle w:val="Fuzeile"/>
    </w:pPr>
    <w:r>
      <w:rPr>
        <w:lang w:val="it-IT"/>
        <w:rFonts w:ascii="Verdana" w:cs="Times New Roman" w:eastAsia="Verdana" w:hAnsi="Verdana"/>
        <w:color w:val="41535D"/>
        <w:sz w:val="18"/>
        <w:noProof w:val="on"/>
      </w:rPr>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60247EEB" w14:textId="0E8A747D" w:rsidR="00AF2A24" w:rsidRDefault="00AF2A24">
    <w:pPr>
      <w:pStyle w:val="Kopfzeile"/>
    </w:pPr>
    <w:r>
      <w:rPr>
        <w:lang w:val="it-IT"/>
        <w:rFonts w:ascii="Verdana" w:cs="Times New Roman" w:eastAsia="Verdana" w:hAnsi="Verdana"/>
        <w:sz w:val="16"/>
        <w:noProof w:val="on"/>
      </w:rPr>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lang w:val="it-IT"/>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3CEA1B2" w14:textId="4E339FAF" w:rsidR="00533132" w:rsidRPr="00533132" w:rsidRDefault="00AF2A24" w:rsidP="00533132">
    <w:pPr>
      <w:pStyle w:val="Kopfzeile"/>
    </w:pPr>
    <w:r>
      <w:rPr>
        <w:lang w:val="it-IT"/>
        <w:rFonts w:ascii="Verdana" w:cs="Times New Roman" w:eastAsia="Verdana" w:hAnsi="Verdana"/>
        <w:sz w:val="16"/>
        <w:noProof w:val="on"/>
      </w:rPr>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lang w:val="it-IT"/>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it-IT"/>
        <w:rFonts w:ascii="Verdana" w:cs="Times New Roman" w:eastAsia="Verdana" w:hAnsi="Verdana"/>
        <w:sz w:val="16"/>
        <w:noProof w:val="on"/>
      </w:rPr>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lang w:val="it-IT"/>
                          <w:rFonts w:ascii="Avenir Next LT Pro" w:cs="Times New Roman" w:eastAsia="MS Mincho" w:hAnsi="Avenir Next LT Pro"/>
                          <w:color w:val="5C666F"/>
                          <w:sz w:val="36"/>
                        </w:rPr>
                        <w:t xml:space="preserve">                                  </w:t>
                      </w:r>
                      <w:r>
                        <w:rPr>
                          <w:lang w:val="it-IT"/>
                          <w:rFonts w:ascii="Avenir Next" w:cs="Times New Roman" w:eastAsia="MS Mincho" w:hAnsi="Avenir Next"/>
                          <w:color w:val="40535C"/>
                          <w:sz w:val="36"/>
                        </w:rPr>
                        <w:t xml:space="preserve">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w:r>
    <w:r>
      <w:rPr>
        <w:lang w:val="it-IT"/>
        <w:rFonts w:ascii="Verdana" w:cs="Times New Roman" w:eastAsia="Verdana" w:hAnsi="Verdana"/>
        <w:sz w:val="16"/>
        <w:noProof w:val="o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1B66189F" w14:textId="56148399" w:rsidR="00533132" w:rsidRDefault="00AF2A24">
    <w:pPr>
      <w:pStyle w:val="Kopfzeile"/>
    </w:pPr>
    <w:r>
      <w:rPr>
        <w:lang w:val="it-IT"/>
        <w:rFonts w:ascii="Verdana" w:cs="Times New Roman" w:eastAsia="Verdana" w:hAnsi="Verdana"/>
        <w:sz w:val="16"/>
        <w:noProof w:val="on"/>
      </w:rPr>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lang w:val="it-IT"/>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it-IT"/>
        <w:rFonts w:ascii="Verdana" w:cs="Times New Roman" w:eastAsia="Verdana" w:hAnsi="Verdana"/>
        <w:sz w:val="16"/>
        <w:noProof w:val="on"/>
      </w:rPr>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r>
      <w:rPr>
        <w:lang w:val="it-IT"/>
        <w:rFonts w:ascii="Verdana" w:cs="Times New Roman" w:eastAsia="Verdana" w:hAnsi="Verdana"/>
        <w:sz w:val="16"/>
        <w:noProof w:val="o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it-IT"/>
        <w:rFonts w:ascii="Verdana" w:cs="Times New Roman" w:eastAsia="Verdana" w:hAnsi="Verdana"/>
        <w:sz w:val="16"/>
        <w:noProof w:val="o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2" type="#_x0000_t75" style="width:1500pt;height:1500pt" o:bullet="t">
        <v:imagedata r:id="rId1" o:title="AZ_04a"/>
      </v:shape>
    </w:pict>
  </w:numPicBullet>
  <w:numPicBullet w:numPicBulletId="1">
    <w:pict>
      <v:shape id="_x0000_i114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xmlns:star_td="http://www.star-group.net/schemas/transit/filters/textdata" mc:Ignorable="w14 w15 w16se w16cid w16 w16cex w16sdtdh">
  <w:zoom w:percent="11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tar_td="http://www.star-group.net/schemas/transit/filters/textdata" mc:Ignorable="w14 w15 w16se w16cid w16 w16cex w16sdtdh">
  <w:docDefaults>
    <w:rPrDefault>
      <w:rPr>
        <w:rFonts w:ascii="Verdana" w:eastAsia="Verdana" w:hAnsi="Verdana" w:cs="Times New Roman"/>
        <w:lang w:val="it-I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val="it-IT"/>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val="it-IT"/>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val="it-IT"/>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val="it-IT"/>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val="it-IT"/>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val="it-IT"/>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val="it-IT"/>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val="it-IT"/>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val="it-IT"/>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val="it-IT"/>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val="it-IT"/>
    </w:rPr>
  </w:style>
  <w:style w:type="paragraph" w:styleId="berarbeitung">
    <w:name w:val="Revision"/>
    <w:hidden/>
    <w:uiPriority w:val="71"/>
    <w:semiHidden/>
    <w:rsid w:val="00EF22FC"/>
    <w:rPr>
      <w:sz w:val="16"/>
      <w:szCs w:val="16"/>
      <w:lang w:eastAsia="en-US"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Relationships xmlns="http://schemas.openxmlformats.org/package/2006/relationships" xmlns:star_td="http://www.star-group.net/schemas/transit/filters/textdata"><Relationship Id="rId8" Type="http://schemas.openxmlformats.org/officeDocument/2006/relationships/image" Target="media/image3.png"/><Relationship Id="rId18" Type="http://schemas.openxmlformats.org/officeDocument/2006/relationships/comments" Target="comment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xmlns:star_td="http://www.star-group.net/schemas/transit/filters/textdata"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xmlns:star_td="http://www.star-group.net/schemas/transit/filters/textdata">
  <Template>PR_WIRTGEN GROUP_Vorlage.dotx</Template>
  <TotalTime>0</TotalTime>
  <Pages>3</Pages>
  <Words>676</Words>
  <Characters>4264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4931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xmlns:star_td="http://www.star-group.net/schemas/transit/filters/textdata">
  <dc:title/>
  <dc:creator>Linnemann Mario</dc:creator>
  <cp:lastModifiedBy>Linnemann Mario</cp:lastModifiedBy>
  <cp:revision>4</cp:revision>
  <cp:lastPrinted>2021-10-20T14:00:00Z</cp:lastPrinted>
  <dcterms:created xsi:type="dcterms:W3CDTF">2022-07-27T12:46:00Z</dcterms:created>
  <dcterms:modified xsi:type="dcterms:W3CDTF">2022-07-27T13:00:00Z</dcterms:modified>
</cp:coreProperties>
</file>

<file path=docProps/custom.xml><?xml version="1.0" encoding="utf-8"?>
<Properties xmlns="http://schemas.openxmlformats.org/officeDocument/2006/custom-properties" xmlns:vt="http://schemas.openxmlformats.org/officeDocument/2006/docPropsVTypes" xmlns:star_td="http://www.star-group.net/schemas/transit/filters/textdata">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